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b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rtl w:val="0"/>
        </w:rPr>
        <w:t xml:space="preserve">Turner strengthens senior leadership team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Helvetica Neue" w:cs="Helvetica Neue" w:eastAsia="Helvetica Neue" w:hAnsi="Helvetica Neue"/>
          <w:color w:val="222222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Turner has announced a slew of appointments, including the addition of a new Director and two Associate Directors.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The appointments come at a time of continued growth for the architecture, urban design, interiors and experiential design practice.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Newly appointed Director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rtl w:val="0"/>
        </w:rPr>
        <w:t xml:space="preserve">Shewanna Mendis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has been with Turner since its inception more than 20 years ago and says she’s incredibly optimistic about what the future holds for the practice.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“At Turner, we’ve always had an urban design sensibility and I’ve been lucky enough to work on some of Sydney’s most transformative urban renewal projects,” she says.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“We’ve recently expanded into experiential design and it’s incredibly rewarding to touch a project at every single stage.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We look forward to amplifying this offering and applying it to more transformative projects in NSW and London.”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Shewanna says the practice is very proud of the team’s diversity.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“We’re diverse in culture and diverse in talent – diverse in every possible aspect. We fundamentally recognise talent, design skill and thinking.”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Shewanna’s new role will include design development, managing the smooth delivery of projects and staff training and mentoring.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Meanwhile,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rtl w:val="0"/>
        </w:rPr>
        <w:t xml:space="preserve">Aniss Adler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has been promoted to Associate Director and Head of Experiential Design, and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rtl w:val="0"/>
        </w:rPr>
        <w:t xml:space="preserve">Brian Fong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has also been promoted to Associate Director.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rtl w:val="0"/>
        </w:rPr>
        <w:t xml:space="preserve">Aniss Adler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is an experienced Art Director and Graphic Designer who joined Turner in 2018. Since then, she has built the Experiential Design department from the ground up.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rtl w:val="0"/>
        </w:rPr>
        <w:t xml:space="preserve">Brian Fong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 is an architect with more than 20 years’ experience in Australia, China and the UK. Throughout his career, he has delivered major masterplanning, medium and high-density residential and mixed use development projects.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center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– Ends –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jc w:val="center"/>
        <w:rPr>
          <w:rFonts w:ascii="Arial" w:cs="Arial" w:eastAsia="Arial" w:hAnsi="Arial"/>
          <w:b w:val="1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6"/>
          <w:szCs w:val="16"/>
          <w:rtl w:val="0"/>
        </w:rPr>
        <w:t xml:space="preserve">For more information and high resolution images please contact:</w:t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jc w:val="center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Martyna Kulczyk, Snr Marketing + Communications Advisor at Lindy Johnson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center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T +61 (0) 423 507 747  |  martyna@lindyjohnson.com.au 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center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76" w:lineRule="auto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40" w:w="11900" w:orient="portrait"/>
      <w:pgMar w:bottom="556" w:top="2448" w:left="1418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hd w:fill="ffffff" w:val="clear"/>
      <w:spacing w:line="276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513"/>
        <w:tab w:val="right" w:pos="9026"/>
      </w:tabs>
      <w:spacing w:after="240" w:before="240" w:line="276" w:lineRule="auto"/>
      <w:rPr>
        <w:rFonts w:ascii="Arial" w:cs="Arial" w:eastAsia="Arial" w:hAnsi="Arial"/>
        <w:color w:val="222222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4433570</wp:posOffset>
          </wp:positionH>
          <wp:positionV relativeFrom="paragraph">
            <wp:posOffset>162560</wp:posOffset>
          </wp:positionV>
          <wp:extent cx="1486535" cy="175895"/>
          <wp:effectExtent b="0" l="0" r="0" t="0"/>
          <wp:wrapSquare wrapText="bothSides" distB="0" distT="0" distL="0" distR="0"/>
          <wp:docPr descr="Icon&#10;&#10;Description automatically generated" id="2" name="image1.png"/>
          <a:graphic>
            <a:graphicData uri="http://schemas.openxmlformats.org/drawingml/2006/picture">
              <pic:pic>
                <pic:nvPicPr>
                  <pic:cNvPr descr="Ico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175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color w:val="222222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105410</wp:posOffset>
          </wp:positionH>
          <wp:positionV relativeFrom="page">
            <wp:posOffset>19050</wp:posOffset>
          </wp:positionV>
          <wp:extent cx="1733550" cy="971550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971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513"/>
        <w:tab w:val="right" w:pos="9026"/>
      </w:tabs>
      <w:spacing w:after="200"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4452945</wp:posOffset>
          </wp:positionH>
          <wp:positionV relativeFrom="paragraph">
            <wp:posOffset>25855</wp:posOffset>
          </wp:positionV>
          <wp:extent cx="1486535" cy="175895"/>
          <wp:effectExtent b="0" l="0" r="0" t="0"/>
          <wp:wrapSquare wrapText="bothSides" distB="0" distT="0" distL="0" distR="0"/>
          <wp:docPr descr="Icon&#10;&#10;Description automatically generated" id="3" name="image1.png"/>
          <a:graphic>
            <a:graphicData uri="http://schemas.openxmlformats.org/drawingml/2006/picture">
              <pic:pic>
                <pic:nvPicPr>
                  <pic:cNvPr descr="Ico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6535" cy="175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513"/>
        <w:tab w:val="right" w:pos="9026"/>
      </w:tabs>
      <w:spacing w:after="200"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enter" w:pos="4513"/>
        <w:tab w:val="right" w:pos="9026"/>
      </w:tabs>
      <w:spacing w:after="200" w:line="276" w:lineRule="auto"/>
      <w:rPr>
        <w:rFonts w:ascii="Arial" w:cs="Arial" w:eastAsia="Arial" w:hAnsi="Arial"/>
        <w:color w:val="222222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222222"/>
        <w:sz w:val="18"/>
        <w:szCs w:val="18"/>
        <w:rtl w:val="0"/>
      </w:rPr>
      <w:t xml:space="preserve">Xx October 2022</w:t>
    </w: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49169</wp:posOffset>
          </wp:positionH>
          <wp:positionV relativeFrom="page">
            <wp:posOffset>0</wp:posOffset>
          </wp:positionV>
          <wp:extent cx="1733550" cy="971550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971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